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23" w:rsidRPr="00F67823" w:rsidRDefault="00F67823" w:rsidP="00F67823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val="en-GB"/>
        </w:rPr>
      </w:pPr>
      <w:r w:rsidRPr="00F6782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ORGANIZACIJA PRAVOSUĐA</w:t>
      </w:r>
    </w:p>
    <w:p w:rsidR="00F67823" w:rsidRPr="00F67823" w:rsidRDefault="00F67823" w:rsidP="00F6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(ISPITNA PITANJA)</w:t>
      </w:r>
    </w:p>
    <w:p w:rsidR="00F67823" w:rsidRPr="00F67823" w:rsidRDefault="00F67823" w:rsidP="00F67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F67823" w:rsidRPr="00F67823" w:rsidRDefault="00F67823" w:rsidP="00F67823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i/>
          <w:sz w:val="28"/>
          <w:szCs w:val="28"/>
          <w:lang w:val="sr-Latn-ME" w:eastAsia="en-GB"/>
        </w:rPr>
        <w:t>Ustavna određenja o pravosuđu</w:t>
      </w:r>
    </w:p>
    <w:p w:rsidR="00F67823" w:rsidRPr="00F67823" w:rsidRDefault="00F67823" w:rsidP="00F6782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Načelna ustavna određenja koja opredjeljuju pravosudni sistem (preambula, članovi 1, 11 i 21 Ustava) </w:t>
      </w:r>
    </w:p>
    <w:p w:rsidR="00F67823" w:rsidRPr="00F67823" w:rsidRDefault="00F67823" w:rsidP="00F6782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Saglasnost pravnih propisa (član 145 Ustava) </w:t>
      </w:r>
    </w:p>
    <w:p w:rsidR="00F67823" w:rsidRPr="00F67823" w:rsidRDefault="00F67823" w:rsidP="00F6782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Objavljivanje i stupanje na snagu pravnih propisa (član 146 Ustava)</w:t>
      </w:r>
    </w:p>
    <w:p w:rsidR="00F67823" w:rsidRPr="00F67823" w:rsidRDefault="00F67823" w:rsidP="00F6782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Zabrana povratnog dejstva (član 147 Ustava)</w:t>
      </w:r>
    </w:p>
    <w:p w:rsidR="00F67823" w:rsidRPr="00F67823" w:rsidRDefault="00F67823" w:rsidP="00F6782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Zakonitost pojedinačnih akata (član 148 Ustava) </w:t>
      </w:r>
    </w:p>
    <w:p w:rsidR="00F67823" w:rsidRPr="00F67823" w:rsidRDefault="00F67823" w:rsidP="00F6782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Načela sudstva (član 118 Ustava)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Sudsko vijeće (član 119 Ustava)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Javnost suđenja (član 120 Ustava)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>Stalnost funkcije (član 121 Ustava)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Funkcionalni imunitet i nespojivost funkcije (članovi 122 i 123 Ustava)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Vrhovni sud (član 124 Ustava)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Sudski savjet – položaj i sastav (član 126 i 127 Ustava)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Nadležnost Sudskog savjeta (član 128 Ustava) 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Državno tužilaštvo – status i nadležnost (član 134 Ustava)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Državno tužilaštvo – imenovanje i mandat (član 135 Ustava)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Tužilački savjet – sastav, izbor, mandat i nadležnost (član 136 Ustava i odgovarajuće odredbe ZODT)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Funkcionalni imunitet i nespojivost funkcija državnih tužilaca (članovi 137 i 138 Ustava)</w:t>
      </w:r>
    </w:p>
    <w:p w:rsidR="00F67823" w:rsidRPr="00F67823" w:rsidRDefault="00F67823" w:rsidP="00F67823">
      <w:pPr>
        <w:numPr>
          <w:ilvl w:val="0"/>
          <w:numId w:val="1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</w:t>
      </w:r>
      <w:r w:rsidRPr="00F67823">
        <w:rPr>
          <w:rFonts w:ascii="Times New Roman" w:eastAsia="Times New Roman" w:hAnsi="Times New Roman" w:cs="Times New Roman"/>
          <w:i/>
          <w:sz w:val="28"/>
          <w:szCs w:val="28"/>
          <w:lang w:val="sr-Latn-ME" w:eastAsia="en-GB"/>
        </w:rPr>
        <w:t>Zakonska određenja o pravosuđu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Načela o sudovima uređena zakonom (dostupnost sudova, nepristrasnost i pravo na „slučajnog sudiju“) 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Vrste sudova u Crnoj Gori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Nadležnost sudova za prekršaje i Višeg suda za prekršaje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Nadležnost Osnovnog suda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Nadležnost Višeg suda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Nadležnost Privrednog i Upravnog suda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Nadležnost Apelacionog suda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Nadležnost Vrhovnog suda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Opšta i proširena sjednica Vrhovnog suda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Uslovi za izbor sudija sudova za prekršaje i Višeg suda za prekršaje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Uslovi za izbor sudija Osnovnog, Višeg, Privrednog i Upravnog suda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lastRenderedPageBreak/>
        <w:t xml:space="preserve"> Uslovi za izbor sudija Apelacionog i Vrhovnog suda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Postupak izbora sudija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Upućivanje i premještaj sudija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Ocjenjivanje sudija („izvori ocjenjivanja“ i kriterijumi)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Vijeća za ocjenjivanje i Komisija za ocjenjivanje sudija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Disciplinska odgovornost sudija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Disciplinski postupak (predlagači, organi u postupku, prava sudija protiv koga se vodi postupak, disciplinske sankcije)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Organizacija rada sudova (poslovi organizacije, odjeljenja, sjednice sudija)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Sudska uprava (poslovi, nadzor nad radom)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Sudski spis (sadržaj, obnavljanje spisa)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Etički kodeks sudija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Organizaciona struktura Državnog tužilaštva (vrste i nadležnost tužilaštava)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Uslovi za izbor državnih tužilaca i rukovodilaca državnih tužilaštava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Postupak izbora državnih tužilaca i rukovodilaca državnih tužilaštava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Ocjenjivanje državnih tužilaca i rukovodilaca državnih tužilaštava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Disciplinska odgovornost državnih tužilaca i rukovodilaca državnih tužilaštava (vrste disiplinskih prekršaja i sankcije)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Tužilački savjet (nadležnost, sastav, mandat)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Tužilačka uprava (poslovi i vršenje nadzora)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Odnos Državnog tužilaštva sa javnošću i drugim organima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Upućivanje i raspoređivanje državnih tužilaca u druga tužilaštva i državne organe</w:t>
      </w:r>
    </w:p>
    <w:p w:rsidR="00F67823" w:rsidRPr="00F67823" w:rsidRDefault="00F67823" w:rsidP="00F678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</w:t>
      </w:r>
      <w:r w:rsidRPr="00F67823">
        <w:rPr>
          <w:rFonts w:ascii="Times New Roman" w:eastAsia="Times New Roman" w:hAnsi="Times New Roman" w:cs="Times New Roman"/>
          <w:sz w:val="28"/>
          <w:szCs w:val="28"/>
          <w:lang w:val="sr-Latn-CS" w:eastAsia="en-GB"/>
        </w:rPr>
        <w:t>Kodeks etike državnih tužilaca</w:t>
      </w:r>
    </w:p>
    <w:p w:rsidR="00F67823" w:rsidRPr="00F67823" w:rsidRDefault="00F67823" w:rsidP="00F67823">
      <w:pPr>
        <w:spacing w:before="240" w:line="25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i/>
          <w:sz w:val="28"/>
          <w:szCs w:val="28"/>
          <w:lang w:val="sr-Latn-ME" w:eastAsia="en-GB"/>
        </w:rPr>
        <w:t>-Druge pravosudne profesije (advokatura, notarijat, javni izršitelji)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Advokatura (pojam, istorijski razvoj)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Principi advokature 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Oblici obavljanja advokature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Advokatska komora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Disciplinska odgovornost advokata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Prestanak bavljenja advokatkom profesijom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Poslovi koje obavlja notar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Vrste notarskih akata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Uslovi za izbor notara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Disciplinska odgovornost notara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lastRenderedPageBreak/>
        <w:t xml:space="preserve"> Nadzor nad radom notara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Javni izvršitelji (pojam i poslovi)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Uslovi za izbor javnih izvršitelja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Disciplinska odgovornost javnih izvršitelja</w:t>
      </w:r>
    </w:p>
    <w:p w:rsidR="00F67823" w:rsidRPr="00F67823" w:rsidRDefault="00F67823" w:rsidP="00F67823">
      <w:pPr>
        <w:numPr>
          <w:ilvl w:val="0"/>
          <w:numId w:val="2"/>
        </w:numPr>
        <w:spacing w:before="240"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  <w:r w:rsidRPr="00F67823"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  <w:t xml:space="preserve"> Nadzor nad radom javnih izvršitelja</w:t>
      </w:r>
    </w:p>
    <w:p w:rsidR="00F67823" w:rsidRPr="00F67823" w:rsidRDefault="00F67823" w:rsidP="00F67823">
      <w:p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</w:p>
    <w:p w:rsidR="00F67823" w:rsidRPr="00F67823" w:rsidRDefault="00F67823" w:rsidP="00F67823">
      <w:pPr>
        <w:spacing w:before="24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ME" w:eastAsia="en-GB"/>
        </w:rPr>
      </w:pPr>
    </w:p>
    <w:p w:rsidR="00092BF1" w:rsidRDefault="00092BF1">
      <w:bookmarkStart w:id="0" w:name="_GoBack"/>
      <w:bookmarkEnd w:id="0"/>
    </w:p>
    <w:sectPr w:rsidR="00092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162B8"/>
    <w:multiLevelType w:val="hybridMultilevel"/>
    <w:tmpl w:val="B4BAB0B8"/>
    <w:lvl w:ilvl="0" w:tplc="DE7488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A7910"/>
    <w:multiLevelType w:val="hybridMultilevel"/>
    <w:tmpl w:val="08C8313C"/>
    <w:lvl w:ilvl="0" w:tplc="4DBECEA4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A3"/>
    <w:rsid w:val="00092BF1"/>
    <w:rsid w:val="006B2FA3"/>
    <w:rsid w:val="00F6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B6B63-9268-4527-95E5-E599CB32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2024-12-15T10:51:00Z</dcterms:created>
  <dcterms:modified xsi:type="dcterms:W3CDTF">2024-12-15T10:51:00Z</dcterms:modified>
</cp:coreProperties>
</file>